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88BD" w14:textId="77777777" w:rsidR="001704F9" w:rsidRPr="0057224C" w:rsidRDefault="001704F9" w:rsidP="001704F9">
      <w:pPr>
        <w:keepNext/>
        <w:autoSpaceDE w:val="0"/>
        <w:autoSpaceDN w:val="0"/>
        <w:adjustRightInd w:val="0"/>
        <w:jc w:val="center"/>
        <w:outlineLvl w:val="0"/>
        <w:rPr>
          <w:rFonts w:eastAsia="Calibri"/>
          <w:b/>
          <w:bCs/>
          <w:sz w:val="36"/>
          <w:szCs w:val="36"/>
        </w:rPr>
      </w:pPr>
      <w:r w:rsidRPr="0057224C">
        <w:rPr>
          <w:rFonts w:eastAsia="Calibri"/>
          <w:b/>
          <w:bCs/>
          <w:sz w:val="36"/>
          <w:szCs w:val="36"/>
        </w:rPr>
        <w:t>Name of Facility</w:t>
      </w:r>
    </w:p>
    <w:p w14:paraId="795590C0" w14:textId="77777777" w:rsidR="001704F9" w:rsidRPr="00C43958" w:rsidRDefault="001704F9" w:rsidP="001704F9">
      <w:pPr>
        <w:keepNext/>
        <w:autoSpaceDE w:val="0"/>
        <w:autoSpaceDN w:val="0"/>
        <w:adjustRightInd w:val="0"/>
        <w:jc w:val="center"/>
        <w:outlineLvl w:val="0"/>
        <w:rPr>
          <w:rFonts w:eastAsia="Calibri"/>
          <w:b/>
          <w:bCs/>
          <w:i/>
          <w:sz w:val="28"/>
          <w:szCs w:val="28"/>
        </w:rPr>
      </w:pPr>
      <w:r w:rsidRPr="00C43958">
        <w:rPr>
          <w:rFonts w:eastAsia="Calibri"/>
          <w:b/>
          <w:bCs/>
          <w:i/>
          <w:sz w:val="28"/>
          <w:szCs w:val="28"/>
        </w:rPr>
        <w:t xml:space="preserve">Low Dose CT </w:t>
      </w:r>
      <w:r>
        <w:rPr>
          <w:rFonts w:eastAsia="Calibri"/>
          <w:b/>
          <w:bCs/>
          <w:i/>
          <w:sz w:val="28"/>
          <w:szCs w:val="28"/>
        </w:rPr>
        <w:t xml:space="preserve">(LDCT) </w:t>
      </w:r>
      <w:r w:rsidRPr="00C43958">
        <w:rPr>
          <w:rFonts w:eastAsia="Calibri"/>
          <w:b/>
          <w:bCs/>
          <w:i/>
          <w:sz w:val="28"/>
          <w:szCs w:val="28"/>
        </w:rPr>
        <w:t>Lung Cancer Screening Examination Policy</w:t>
      </w:r>
    </w:p>
    <w:p w14:paraId="629F0AA3" w14:textId="77777777" w:rsidR="001704F9" w:rsidRDefault="001704F9" w:rsidP="001704F9">
      <w:pPr>
        <w:rPr>
          <w:rFonts w:eastAsia="Calibri"/>
          <w:b/>
          <w:sz w:val="22"/>
          <w:szCs w:val="22"/>
        </w:rPr>
      </w:pPr>
    </w:p>
    <w:p w14:paraId="0A67F6D8" w14:textId="5B7F697B" w:rsidR="001704F9" w:rsidRPr="00F47B83" w:rsidRDefault="001704F9" w:rsidP="001704F9">
      <w:pPr>
        <w:rPr>
          <w:rFonts w:eastAsia="Calibri"/>
          <w:sz w:val="22"/>
          <w:szCs w:val="22"/>
        </w:rPr>
      </w:pPr>
      <w:r w:rsidRPr="00F47B83">
        <w:rPr>
          <w:rFonts w:eastAsia="Calibri"/>
          <w:b/>
          <w:sz w:val="22"/>
          <w:szCs w:val="22"/>
        </w:rPr>
        <w:t>EFFECTIVE DATE</w:t>
      </w:r>
      <w:r w:rsidRPr="00F47B83">
        <w:rPr>
          <w:rFonts w:eastAsia="Calibri"/>
          <w:sz w:val="22"/>
          <w:szCs w:val="22"/>
        </w:rPr>
        <w:t xml:space="preserve">: June 1, </w:t>
      </w:r>
      <w:r w:rsidR="00BE38A7">
        <w:rPr>
          <w:rFonts w:eastAsia="Calibri"/>
          <w:sz w:val="22"/>
          <w:szCs w:val="22"/>
        </w:rPr>
        <w:t>2023</w:t>
      </w:r>
    </w:p>
    <w:p w14:paraId="517577F6" w14:textId="77777777" w:rsidR="001704F9" w:rsidRPr="00F47B83" w:rsidRDefault="001704F9" w:rsidP="001704F9">
      <w:pPr>
        <w:rPr>
          <w:sz w:val="22"/>
          <w:szCs w:val="22"/>
        </w:rPr>
      </w:pPr>
    </w:p>
    <w:p w14:paraId="2287FAC0" w14:textId="77777777" w:rsidR="001704F9" w:rsidRPr="00F47B83" w:rsidRDefault="001704F9" w:rsidP="001704F9">
      <w:pPr>
        <w:rPr>
          <w:sz w:val="22"/>
          <w:szCs w:val="22"/>
        </w:rPr>
      </w:pPr>
      <w:r w:rsidRPr="00F47B83">
        <w:rPr>
          <w:b/>
          <w:sz w:val="22"/>
          <w:szCs w:val="22"/>
        </w:rPr>
        <w:t>PURPOSE</w:t>
      </w:r>
      <w:r w:rsidRPr="00F47B83">
        <w:rPr>
          <w:sz w:val="22"/>
          <w:szCs w:val="22"/>
        </w:rPr>
        <w:t>: To outline the facility specific processes for compliance with all Center for Medicare and Medicaid Services (CMS) requirements.</w:t>
      </w:r>
    </w:p>
    <w:p w14:paraId="55AB5E2E" w14:textId="77777777" w:rsidR="001704F9" w:rsidRPr="00F47B83" w:rsidRDefault="001704F9" w:rsidP="001704F9">
      <w:pPr>
        <w:rPr>
          <w:sz w:val="22"/>
          <w:szCs w:val="22"/>
        </w:rPr>
      </w:pPr>
    </w:p>
    <w:p w14:paraId="2A490106" w14:textId="34D8EB29" w:rsidR="001704F9" w:rsidRDefault="001704F9" w:rsidP="001704F9">
      <w:pPr>
        <w:numPr>
          <w:ilvl w:val="0"/>
          <w:numId w:val="1"/>
        </w:numPr>
        <w:ind w:left="360"/>
        <w:rPr>
          <w:sz w:val="22"/>
          <w:szCs w:val="22"/>
        </w:rPr>
      </w:pPr>
      <w:r w:rsidRPr="0057224C">
        <w:rPr>
          <w:b/>
          <w:sz w:val="22"/>
          <w:szCs w:val="22"/>
        </w:rPr>
        <w:t xml:space="preserve">Patient eligibility: </w:t>
      </w:r>
      <w:r w:rsidRPr="0057224C">
        <w:rPr>
          <w:sz w:val="22"/>
          <w:szCs w:val="22"/>
        </w:rPr>
        <w:t xml:space="preserve">All patients will be asymptomatic, between </w:t>
      </w:r>
      <w:r>
        <w:rPr>
          <w:sz w:val="22"/>
          <w:szCs w:val="22"/>
        </w:rPr>
        <w:t>50-</w:t>
      </w:r>
      <w:r w:rsidRPr="0057224C">
        <w:rPr>
          <w:sz w:val="22"/>
          <w:szCs w:val="22"/>
        </w:rPr>
        <w:t xml:space="preserve">77 years of age, either current smokers or have quit smoking within the past 15 </w:t>
      </w:r>
      <w:proofErr w:type="gramStart"/>
      <w:r w:rsidRPr="0057224C">
        <w:rPr>
          <w:sz w:val="22"/>
          <w:szCs w:val="22"/>
        </w:rPr>
        <w:t>years, and</w:t>
      </w:r>
      <w:proofErr w:type="gramEnd"/>
      <w:r w:rsidRPr="0057224C">
        <w:rPr>
          <w:sz w:val="22"/>
          <w:szCs w:val="22"/>
        </w:rPr>
        <w:t xml:space="preserve"> will have a history of tobacco smoking of at least </w:t>
      </w:r>
      <w:r>
        <w:rPr>
          <w:sz w:val="22"/>
          <w:szCs w:val="22"/>
        </w:rPr>
        <w:t>2</w:t>
      </w:r>
      <w:r w:rsidRPr="0057224C">
        <w:rPr>
          <w:sz w:val="22"/>
          <w:szCs w:val="22"/>
        </w:rPr>
        <w:t xml:space="preserve">0 pack years. </w:t>
      </w:r>
    </w:p>
    <w:p w14:paraId="4DB915C0" w14:textId="77777777" w:rsidR="001704F9" w:rsidRDefault="001704F9" w:rsidP="001704F9">
      <w:pPr>
        <w:ind w:left="360"/>
        <w:rPr>
          <w:sz w:val="22"/>
          <w:szCs w:val="22"/>
        </w:rPr>
      </w:pPr>
    </w:p>
    <w:p w14:paraId="50844708" w14:textId="77777777" w:rsidR="001704F9" w:rsidRDefault="001704F9" w:rsidP="001704F9">
      <w:pPr>
        <w:numPr>
          <w:ilvl w:val="0"/>
          <w:numId w:val="1"/>
        </w:numPr>
        <w:ind w:left="360"/>
        <w:rPr>
          <w:sz w:val="22"/>
          <w:szCs w:val="22"/>
        </w:rPr>
      </w:pPr>
      <w:r w:rsidRPr="0057224C">
        <w:rPr>
          <w:b/>
          <w:sz w:val="22"/>
          <w:szCs w:val="22"/>
        </w:rPr>
        <w:t>Referral for LDCT Lung Cancer Screening Examination:</w:t>
      </w:r>
      <w:r>
        <w:rPr>
          <w:sz w:val="22"/>
          <w:szCs w:val="22"/>
        </w:rPr>
        <w:t xml:space="preserve"> </w:t>
      </w:r>
      <w:r w:rsidRPr="0057224C">
        <w:rPr>
          <w:sz w:val="22"/>
          <w:szCs w:val="22"/>
        </w:rPr>
        <w:t>All patients will present a written order (referral) for the LDCT lung cancer screening examinations f</w:t>
      </w:r>
      <w:r>
        <w:rPr>
          <w:sz w:val="22"/>
          <w:szCs w:val="22"/>
        </w:rPr>
        <w:t>rom</w:t>
      </w:r>
      <w:r w:rsidRPr="0057224C">
        <w:rPr>
          <w:sz w:val="22"/>
          <w:szCs w:val="22"/>
        </w:rPr>
        <w:t xml:space="preserve"> a physician or n</w:t>
      </w:r>
      <w:r>
        <w:rPr>
          <w:sz w:val="22"/>
          <w:szCs w:val="22"/>
        </w:rPr>
        <w:t>on-</w:t>
      </w:r>
      <w:r w:rsidRPr="0057224C">
        <w:rPr>
          <w:sz w:val="22"/>
          <w:szCs w:val="22"/>
        </w:rPr>
        <w:t>physician practitioner (e.g.</w:t>
      </w:r>
      <w:r>
        <w:rPr>
          <w:sz w:val="22"/>
          <w:szCs w:val="22"/>
        </w:rPr>
        <w:t xml:space="preserve">, </w:t>
      </w:r>
      <w:r w:rsidRPr="0057224C">
        <w:rPr>
          <w:sz w:val="22"/>
          <w:szCs w:val="22"/>
        </w:rPr>
        <w:t>PA, CRNP</w:t>
      </w:r>
      <w:r>
        <w:rPr>
          <w:sz w:val="22"/>
          <w:szCs w:val="22"/>
        </w:rPr>
        <w:t>.</w:t>
      </w:r>
      <w:r w:rsidRPr="0057224C">
        <w:rPr>
          <w:sz w:val="22"/>
          <w:szCs w:val="22"/>
        </w:rPr>
        <w:t>) The referring physician/practitioner will adhere to all CMS requirements for pat</w:t>
      </w:r>
      <w:r>
        <w:rPr>
          <w:sz w:val="22"/>
          <w:szCs w:val="22"/>
        </w:rPr>
        <w:t xml:space="preserve">ient assessment and counseling </w:t>
      </w:r>
      <w:r w:rsidRPr="0057224C">
        <w:rPr>
          <w:sz w:val="22"/>
          <w:szCs w:val="22"/>
        </w:rPr>
        <w:t>for the initial LDCT lung cancer screening examination</w:t>
      </w:r>
      <w:r>
        <w:rPr>
          <w:sz w:val="22"/>
          <w:szCs w:val="22"/>
        </w:rPr>
        <w:t xml:space="preserve"> and all</w:t>
      </w:r>
      <w:r w:rsidRPr="0057224C">
        <w:rPr>
          <w:sz w:val="22"/>
          <w:szCs w:val="22"/>
        </w:rPr>
        <w:t xml:space="preserve"> subsequent LDCT lung cancer screening examinations.</w:t>
      </w:r>
    </w:p>
    <w:p w14:paraId="7DA5E767" w14:textId="77777777" w:rsidR="001704F9" w:rsidRDefault="001704F9" w:rsidP="001704F9">
      <w:pPr>
        <w:pStyle w:val="ListParagraph"/>
        <w:rPr>
          <w:b/>
          <w:sz w:val="22"/>
          <w:szCs w:val="22"/>
        </w:rPr>
      </w:pPr>
    </w:p>
    <w:p w14:paraId="60AB5107" w14:textId="77777777" w:rsidR="001704F9" w:rsidRDefault="001704F9" w:rsidP="001704F9">
      <w:pPr>
        <w:numPr>
          <w:ilvl w:val="0"/>
          <w:numId w:val="1"/>
        </w:numPr>
        <w:ind w:left="360"/>
        <w:rPr>
          <w:sz w:val="22"/>
          <w:szCs w:val="22"/>
        </w:rPr>
      </w:pPr>
      <w:r w:rsidRPr="0057224C">
        <w:rPr>
          <w:b/>
          <w:sz w:val="22"/>
          <w:szCs w:val="22"/>
        </w:rPr>
        <w:t xml:space="preserve"> Eligibility of interpreting physician:</w:t>
      </w:r>
      <w:r>
        <w:rPr>
          <w:b/>
          <w:sz w:val="22"/>
          <w:szCs w:val="22"/>
        </w:rPr>
        <w:t xml:space="preserve"> </w:t>
      </w:r>
      <w:r w:rsidRPr="0057224C">
        <w:rPr>
          <w:sz w:val="22"/>
          <w:szCs w:val="22"/>
        </w:rPr>
        <w:t>All interpreting physicians of LDCT lung cancer screening examinations will be certified by the American Board of Radiology (or equivalent organization) with appropriate experience in interpretation of chest CT imaging as outlined in the CMS requirements.</w:t>
      </w:r>
    </w:p>
    <w:p w14:paraId="27506810" w14:textId="77777777" w:rsidR="001704F9" w:rsidRDefault="001704F9" w:rsidP="001704F9">
      <w:pPr>
        <w:pStyle w:val="ListParagraph"/>
        <w:rPr>
          <w:b/>
          <w:sz w:val="22"/>
          <w:szCs w:val="22"/>
        </w:rPr>
      </w:pPr>
    </w:p>
    <w:p w14:paraId="7CBE7B0A" w14:textId="54E838BD" w:rsidR="001704F9" w:rsidRDefault="001704F9" w:rsidP="002566F7">
      <w:pPr>
        <w:numPr>
          <w:ilvl w:val="0"/>
          <w:numId w:val="1"/>
        </w:numPr>
        <w:ind w:left="360"/>
        <w:rPr>
          <w:sz w:val="22"/>
          <w:szCs w:val="22"/>
        </w:rPr>
      </w:pPr>
      <w:r w:rsidRPr="0057224C">
        <w:rPr>
          <w:b/>
          <w:sz w:val="22"/>
          <w:szCs w:val="22"/>
        </w:rPr>
        <w:t>Radiation Dose:</w:t>
      </w:r>
      <w:r>
        <w:rPr>
          <w:b/>
          <w:sz w:val="22"/>
          <w:szCs w:val="22"/>
        </w:rPr>
        <w:t xml:space="preserve"> </w:t>
      </w:r>
      <w:r w:rsidRPr="0057224C">
        <w:rPr>
          <w:sz w:val="22"/>
          <w:szCs w:val="22"/>
        </w:rPr>
        <w:t xml:space="preserve">The image parameters </w:t>
      </w:r>
      <w:r>
        <w:rPr>
          <w:sz w:val="22"/>
          <w:szCs w:val="22"/>
        </w:rPr>
        <w:t xml:space="preserve">for LDCT lung cancer screening examination </w:t>
      </w:r>
      <w:r w:rsidRPr="0057224C">
        <w:rPr>
          <w:sz w:val="22"/>
          <w:szCs w:val="22"/>
        </w:rPr>
        <w:t>follow the manufacturer recommendations</w:t>
      </w:r>
      <w:r>
        <w:rPr>
          <w:sz w:val="22"/>
          <w:szCs w:val="22"/>
        </w:rPr>
        <w:t xml:space="preserve"> and AAPM recommendations</w:t>
      </w:r>
      <w:r w:rsidRPr="0057224C">
        <w:rPr>
          <w:sz w:val="22"/>
          <w:szCs w:val="22"/>
        </w:rPr>
        <w:t xml:space="preserve"> </w:t>
      </w:r>
      <w:r>
        <w:rPr>
          <w:sz w:val="22"/>
          <w:szCs w:val="22"/>
        </w:rPr>
        <w:t xml:space="preserve">specific to the CT unit </w:t>
      </w:r>
      <w:r w:rsidRPr="0057224C">
        <w:rPr>
          <w:sz w:val="22"/>
          <w:szCs w:val="22"/>
        </w:rPr>
        <w:t xml:space="preserve">to yield a </w:t>
      </w:r>
      <w:proofErr w:type="spellStart"/>
      <w:r w:rsidRPr="0057224C">
        <w:rPr>
          <w:sz w:val="22"/>
          <w:szCs w:val="22"/>
        </w:rPr>
        <w:t>CTDIvol</w:t>
      </w:r>
      <w:proofErr w:type="spellEnd"/>
      <w:r w:rsidRPr="0057224C">
        <w:rPr>
          <w:sz w:val="22"/>
          <w:szCs w:val="22"/>
        </w:rPr>
        <w:t xml:space="preserve"> of less than or equal to 3.0 mSv while provi</w:t>
      </w:r>
      <w:r>
        <w:rPr>
          <w:sz w:val="22"/>
          <w:szCs w:val="22"/>
        </w:rPr>
        <w:t xml:space="preserve">ding acceptable image quality. </w:t>
      </w:r>
      <w:r w:rsidRPr="0057224C">
        <w:rPr>
          <w:sz w:val="22"/>
          <w:szCs w:val="22"/>
        </w:rPr>
        <w:t xml:space="preserve">This dose will be reassessed at the time of the annual survey </w:t>
      </w:r>
      <w:r>
        <w:rPr>
          <w:sz w:val="22"/>
          <w:szCs w:val="22"/>
        </w:rPr>
        <w:t>and</w:t>
      </w:r>
      <w:r w:rsidRPr="0057224C">
        <w:rPr>
          <w:sz w:val="22"/>
          <w:szCs w:val="22"/>
        </w:rPr>
        <w:t xml:space="preserve"> routine preventative maintenance.</w:t>
      </w:r>
    </w:p>
    <w:p w14:paraId="7450B859" w14:textId="77777777" w:rsidR="002566F7" w:rsidRDefault="002566F7" w:rsidP="002566F7">
      <w:pPr>
        <w:pStyle w:val="ListParagraph"/>
        <w:rPr>
          <w:sz w:val="22"/>
          <w:szCs w:val="22"/>
        </w:rPr>
      </w:pPr>
    </w:p>
    <w:p w14:paraId="3FD25FFB" w14:textId="6B6C8ECB" w:rsidR="002566F7" w:rsidRPr="002566F7" w:rsidRDefault="002566F7" w:rsidP="00BE38A7">
      <w:pPr>
        <w:numPr>
          <w:ilvl w:val="0"/>
          <w:numId w:val="1"/>
        </w:numPr>
        <w:ind w:left="360"/>
        <w:rPr>
          <w:rFonts w:eastAsia="Calibri"/>
          <w:b/>
          <w:sz w:val="22"/>
          <w:szCs w:val="22"/>
          <w:lang w:val="en"/>
        </w:rPr>
      </w:pPr>
      <w:r w:rsidRPr="002566F7">
        <w:rPr>
          <w:rFonts w:eastAsia="Calibri"/>
          <w:b/>
          <w:sz w:val="22"/>
          <w:szCs w:val="22"/>
          <w:lang w:val="en"/>
        </w:rPr>
        <w:t>Standardized Documentation: The facility will utilize a standardized lung nodule identification, classification, and reporting system.</w:t>
      </w:r>
    </w:p>
    <w:p w14:paraId="057D88A5" w14:textId="77777777" w:rsidR="001704F9" w:rsidRDefault="001704F9" w:rsidP="001704F9">
      <w:pPr>
        <w:pStyle w:val="ListParagraph"/>
        <w:rPr>
          <w:b/>
          <w:sz w:val="22"/>
          <w:szCs w:val="22"/>
          <w:lang w:val="en"/>
        </w:rPr>
      </w:pPr>
    </w:p>
    <w:p w14:paraId="5CD140E8" w14:textId="77777777" w:rsidR="001704F9" w:rsidRDefault="001704F9" w:rsidP="001704F9">
      <w:pPr>
        <w:rPr>
          <w:sz w:val="20"/>
          <w:szCs w:val="20"/>
        </w:rPr>
      </w:pPr>
    </w:p>
    <w:p w14:paraId="62B3F798" w14:textId="77777777" w:rsidR="001704F9" w:rsidRDefault="001704F9" w:rsidP="001704F9">
      <w:pPr>
        <w:rPr>
          <w:sz w:val="20"/>
          <w:szCs w:val="20"/>
        </w:rPr>
      </w:pPr>
    </w:p>
    <w:p w14:paraId="2D2E70F7" w14:textId="77777777" w:rsidR="001704F9" w:rsidRDefault="001704F9" w:rsidP="001704F9">
      <w:pPr>
        <w:rPr>
          <w:sz w:val="20"/>
          <w:szCs w:val="20"/>
        </w:rPr>
      </w:pPr>
    </w:p>
    <w:p w14:paraId="69B07909" w14:textId="77777777" w:rsidR="001704F9" w:rsidRDefault="001704F9" w:rsidP="001704F9">
      <w:pPr>
        <w:rPr>
          <w:sz w:val="20"/>
          <w:szCs w:val="20"/>
        </w:rPr>
      </w:pPr>
    </w:p>
    <w:p w14:paraId="32204F26" w14:textId="77777777" w:rsidR="001704F9" w:rsidRDefault="001704F9" w:rsidP="001704F9">
      <w:pPr>
        <w:rPr>
          <w:sz w:val="20"/>
          <w:szCs w:val="20"/>
        </w:rPr>
      </w:pPr>
    </w:p>
    <w:p w14:paraId="1C892878" w14:textId="77777777" w:rsidR="001704F9" w:rsidRDefault="001704F9" w:rsidP="001704F9">
      <w:pPr>
        <w:rPr>
          <w:sz w:val="20"/>
          <w:szCs w:val="20"/>
        </w:rPr>
      </w:pPr>
    </w:p>
    <w:p w14:paraId="54E237E5" w14:textId="77777777" w:rsidR="001704F9" w:rsidRDefault="001704F9" w:rsidP="001704F9">
      <w:pPr>
        <w:rPr>
          <w:sz w:val="20"/>
          <w:szCs w:val="20"/>
        </w:rPr>
      </w:pPr>
    </w:p>
    <w:p w14:paraId="05871DCB" w14:textId="77777777" w:rsidR="001704F9" w:rsidRDefault="001704F9" w:rsidP="001704F9">
      <w:pPr>
        <w:rPr>
          <w:sz w:val="20"/>
          <w:szCs w:val="20"/>
        </w:rPr>
      </w:pPr>
    </w:p>
    <w:p w14:paraId="2B8EA0CE" w14:textId="77777777" w:rsidR="001704F9" w:rsidRDefault="001704F9" w:rsidP="001704F9">
      <w:pPr>
        <w:rPr>
          <w:sz w:val="20"/>
          <w:szCs w:val="20"/>
        </w:rPr>
      </w:pPr>
    </w:p>
    <w:p w14:paraId="19BBD12F" w14:textId="77777777" w:rsidR="001704F9" w:rsidRPr="009B27C1" w:rsidRDefault="001704F9" w:rsidP="001704F9">
      <w:pPr>
        <w:rPr>
          <w:sz w:val="20"/>
          <w:szCs w:val="20"/>
        </w:rPr>
      </w:pPr>
    </w:p>
    <w:tbl>
      <w:tblPr>
        <w:tblpPr w:leftFromText="180" w:rightFromText="180" w:vertAnchor="text" w:horzAnchor="margin" w:tblpX="86" w:tblpY="282"/>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890"/>
        <w:gridCol w:w="4345"/>
        <w:gridCol w:w="1170"/>
        <w:gridCol w:w="1620"/>
      </w:tblGrid>
      <w:tr w:rsidR="001704F9" w:rsidRPr="0085745B" w14:paraId="0E067686" w14:textId="77777777" w:rsidTr="00870245">
        <w:tc>
          <w:tcPr>
            <w:tcW w:w="1890" w:type="dxa"/>
            <w:shd w:val="clear" w:color="auto" w:fill="B3B3B3"/>
            <w:vAlign w:val="center"/>
          </w:tcPr>
          <w:p w14:paraId="5554C373" w14:textId="77777777" w:rsidR="001704F9" w:rsidRPr="009B27C1" w:rsidRDefault="001704F9" w:rsidP="00870245">
            <w:pPr>
              <w:rPr>
                <w:sz w:val="20"/>
                <w:szCs w:val="20"/>
              </w:rPr>
            </w:pPr>
            <w:r w:rsidRPr="009B27C1">
              <w:rPr>
                <w:sz w:val="20"/>
                <w:szCs w:val="20"/>
              </w:rPr>
              <w:t>Written by:</w:t>
            </w:r>
          </w:p>
        </w:tc>
        <w:tc>
          <w:tcPr>
            <w:tcW w:w="4345" w:type="dxa"/>
            <w:vAlign w:val="center"/>
          </w:tcPr>
          <w:p w14:paraId="2FDB08A4" w14:textId="77777777" w:rsidR="001704F9" w:rsidRPr="009B27C1" w:rsidRDefault="001704F9" w:rsidP="00870245">
            <w:pPr>
              <w:rPr>
                <w:sz w:val="20"/>
                <w:szCs w:val="20"/>
              </w:rPr>
            </w:pPr>
          </w:p>
        </w:tc>
        <w:tc>
          <w:tcPr>
            <w:tcW w:w="1170" w:type="dxa"/>
            <w:shd w:val="clear" w:color="auto" w:fill="B3B3B3"/>
            <w:vAlign w:val="center"/>
          </w:tcPr>
          <w:p w14:paraId="00E74AB5" w14:textId="77777777" w:rsidR="001704F9" w:rsidRPr="009B27C1" w:rsidRDefault="001704F9" w:rsidP="00870245">
            <w:pPr>
              <w:rPr>
                <w:sz w:val="20"/>
                <w:szCs w:val="20"/>
              </w:rPr>
            </w:pPr>
            <w:r w:rsidRPr="009B27C1">
              <w:rPr>
                <w:sz w:val="20"/>
                <w:szCs w:val="20"/>
              </w:rPr>
              <w:t>Date:</w:t>
            </w:r>
          </w:p>
        </w:tc>
        <w:tc>
          <w:tcPr>
            <w:tcW w:w="1620" w:type="dxa"/>
            <w:vAlign w:val="center"/>
          </w:tcPr>
          <w:p w14:paraId="4429AE09" w14:textId="77777777" w:rsidR="001704F9" w:rsidRPr="009B27C1" w:rsidRDefault="001704F9" w:rsidP="00870245">
            <w:pPr>
              <w:rPr>
                <w:sz w:val="20"/>
                <w:szCs w:val="20"/>
              </w:rPr>
            </w:pPr>
          </w:p>
        </w:tc>
      </w:tr>
      <w:tr w:rsidR="001704F9" w:rsidRPr="0085745B" w14:paraId="312553A3" w14:textId="77777777" w:rsidTr="00870245">
        <w:tc>
          <w:tcPr>
            <w:tcW w:w="1890" w:type="dxa"/>
            <w:shd w:val="clear" w:color="auto" w:fill="B3B3B3"/>
            <w:vAlign w:val="center"/>
          </w:tcPr>
          <w:p w14:paraId="28FDBD29" w14:textId="77777777" w:rsidR="001704F9" w:rsidRPr="009B27C1" w:rsidRDefault="001704F9" w:rsidP="00870245">
            <w:pPr>
              <w:rPr>
                <w:sz w:val="20"/>
                <w:szCs w:val="20"/>
              </w:rPr>
            </w:pPr>
            <w:r w:rsidRPr="009B27C1">
              <w:rPr>
                <w:sz w:val="20"/>
                <w:szCs w:val="20"/>
              </w:rPr>
              <w:t>Reviewed by:</w:t>
            </w:r>
          </w:p>
        </w:tc>
        <w:tc>
          <w:tcPr>
            <w:tcW w:w="4345" w:type="dxa"/>
            <w:vAlign w:val="center"/>
          </w:tcPr>
          <w:p w14:paraId="294E9680" w14:textId="77777777" w:rsidR="001704F9" w:rsidRPr="009B27C1" w:rsidRDefault="001704F9" w:rsidP="00870245">
            <w:pPr>
              <w:rPr>
                <w:sz w:val="20"/>
                <w:szCs w:val="20"/>
              </w:rPr>
            </w:pPr>
          </w:p>
        </w:tc>
        <w:tc>
          <w:tcPr>
            <w:tcW w:w="1170" w:type="dxa"/>
            <w:shd w:val="clear" w:color="auto" w:fill="B3B3B3"/>
            <w:vAlign w:val="center"/>
          </w:tcPr>
          <w:p w14:paraId="46F086B7" w14:textId="77777777" w:rsidR="001704F9" w:rsidRPr="009B27C1" w:rsidRDefault="001704F9" w:rsidP="00870245">
            <w:pPr>
              <w:rPr>
                <w:sz w:val="20"/>
                <w:szCs w:val="20"/>
              </w:rPr>
            </w:pPr>
            <w:r w:rsidRPr="009B27C1">
              <w:rPr>
                <w:sz w:val="20"/>
                <w:szCs w:val="20"/>
              </w:rPr>
              <w:t>Date:</w:t>
            </w:r>
          </w:p>
        </w:tc>
        <w:tc>
          <w:tcPr>
            <w:tcW w:w="1620" w:type="dxa"/>
            <w:vAlign w:val="center"/>
          </w:tcPr>
          <w:p w14:paraId="146CE8A2" w14:textId="77777777" w:rsidR="001704F9" w:rsidRPr="009B27C1" w:rsidRDefault="001704F9" w:rsidP="00870245">
            <w:pPr>
              <w:rPr>
                <w:sz w:val="20"/>
                <w:szCs w:val="20"/>
              </w:rPr>
            </w:pPr>
          </w:p>
        </w:tc>
      </w:tr>
    </w:tbl>
    <w:p w14:paraId="00066451" w14:textId="77777777" w:rsidR="001704F9" w:rsidRPr="003E17BF" w:rsidRDefault="001704F9" w:rsidP="001704F9">
      <w:pPr>
        <w:tabs>
          <w:tab w:val="left" w:pos="1741"/>
        </w:tabs>
      </w:pPr>
    </w:p>
    <w:p w14:paraId="323DAC6D" w14:textId="77777777" w:rsidR="00C36EB8" w:rsidRDefault="00C36EB8"/>
    <w:sectPr w:rsidR="00C36EB8" w:rsidSect="00925CA1">
      <w:headerReference w:type="even" r:id="rId7"/>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FBD7" w14:textId="77777777" w:rsidR="007C4C1D" w:rsidRDefault="002566F7">
      <w:r>
        <w:separator/>
      </w:r>
    </w:p>
  </w:endnote>
  <w:endnote w:type="continuationSeparator" w:id="0">
    <w:p w14:paraId="013C8842" w14:textId="77777777" w:rsidR="007C4C1D" w:rsidRDefault="0025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309B" w14:textId="17661E30" w:rsidR="00BE38A7" w:rsidRPr="00803DF8" w:rsidRDefault="00BE38A7" w:rsidP="00803DF8">
    <w:pPr>
      <w:pStyle w:val="Footer"/>
      <w:tabs>
        <w:tab w:val="clear" w:pos="8640"/>
        <w:tab w:val="right" w:pos="9360"/>
      </w:tabs>
      <w:rPr>
        <w:b/>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A71E" w14:textId="77777777" w:rsidR="007C4C1D" w:rsidRDefault="002566F7">
      <w:r>
        <w:separator/>
      </w:r>
    </w:p>
  </w:footnote>
  <w:footnote w:type="continuationSeparator" w:id="0">
    <w:p w14:paraId="3FC970AC" w14:textId="77777777" w:rsidR="007C4C1D" w:rsidRDefault="0025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A52C" w14:textId="77777777" w:rsidR="00BE38A7" w:rsidRDefault="00BE38A7">
    <w:pPr>
      <w:pStyle w:val="Header"/>
    </w:pPr>
    <w:r>
      <w:rPr>
        <w:noProof/>
      </w:rPr>
      <w:pict w14:anchorId="10433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384690" o:spid="_x0000_s1026" type="#_x0000_t136" style="position:absolute;margin-left:0;margin-top:0;width:786.75pt;height:87pt;rotation:315;z-index:-251656192;mso-position-horizontal:center;mso-position-horizontal-relative:margin;mso-position-vertical:center;mso-position-vertical-relative:margin" o:allowincell="f" fillcolor="#7f7f7f" stroked="f">
          <v:fill opacity=".5"/>
          <v:textpath style="font-family:&quot;Tahoma&quot;;font-size:1in" string="SAMPLE:  DO NO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0571" w14:textId="3B694CCA" w:rsidR="00BE38A7" w:rsidRDefault="00BE38A7">
    <w:pPr>
      <w:pStyle w:val="Header"/>
    </w:pPr>
    <w:r>
      <w:rPr>
        <w:noProof/>
      </w:rPr>
      <w:pict w14:anchorId="7CD18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2384689" o:spid="_x0000_s1025" type="#_x0000_t136" style="position:absolute;margin-left:0;margin-top:0;width:786.75pt;height:87pt;rotation:315;z-index:-251657216;mso-position-horizontal:center;mso-position-horizontal-relative:margin;mso-position-vertical:center;mso-position-vertical-relative:margin" o:allowincell="f" fillcolor="#7f7f7f" stroked="f">
          <v:fill opacity=".5"/>
          <v:textpath style="font-family:&quot;Tahoma&quot;;font-size:1in" string="SAMPLE:  DO NO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32AD8"/>
    <w:multiLevelType w:val="hybridMultilevel"/>
    <w:tmpl w:val="CC602C4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16cid:durableId="1283532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F9"/>
    <w:rsid w:val="001704F9"/>
    <w:rsid w:val="002566F7"/>
    <w:rsid w:val="007C4C1D"/>
    <w:rsid w:val="00BE38A7"/>
    <w:rsid w:val="00C36EB8"/>
    <w:rsid w:val="00E2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1B73D"/>
  <w15:chartTrackingRefBased/>
  <w15:docId w15:val="{A5EA93BA-3484-42FE-B749-6F6F45F5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F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4F9"/>
    <w:pPr>
      <w:tabs>
        <w:tab w:val="center" w:pos="4320"/>
        <w:tab w:val="right" w:pos="8640"/>
      </w:tabs>
    </w:pPr>
  </w:style>
  <w:style w:type="character" w:customStyle="1" w:styleId="HeaderChar">
    <w:name w:val="Header Char"/>
    <w:basedOn w:val="DefaultParagraphFont"/>
    <w:link w:val="Header"/>
    <w:rsid w:val="001704F9"/>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1704F9"/>
    <w:pPr>
      <w:tabs>
        <w:tab w:val="center" w:pos="4320"/>
        <w:tab w:val="right" w:pos="8640"/>
      </w:tabs>
    </w:pPr>
  </w:style>
  <w:style w:type="character" w:customStyle="1" w:styleId="FooterChar">
    <w:name w:val="Footer Char"/>
    <w:basedOn w:val="DefaultParagraphFont"/>
    <w:link w:val="Footer"/>
    <w:rsid w:val="001704F9"/>
    <w:rPr>
      <w:rFonts w:ascii="Times New Roman" w:eastAsia="Times New Roman" w:hAnsi="Times New Roman" w:cs="Times New Roman"/>
      <w:kern w:val="0"/>
      <w:sz w:val="24"/>
      <w:szCs w:val="24"/>
      <w14:ligatures w14:val="none"/>
    </w:rPr>
  </w:style>
  <w:style w:type="paragraph" w:styleId="ListParagraph">
    <w:name w:val="List Paragraph"/>
    <w:basedOn w:val="Normal"/>
    <w:qFormat/>
    <w:rsid w:val="001704F9"/>
    <w:pPr>
      <w:ind w:left="720"/>
      <w:contextualSpacing/>
    </w:pPr>
    <w:rPr>
      <w:rFonts w:eastAsia="Calibri"/>
    </w:rPr>
  </w:style>
  <w:style w:type="paragraph" w:styleId="Revision">
    <w:name w:val="Revision"/>
    <w:hidden/>
    <w:uiPriority w:val="99"/>
    <w:semiHidden/>
    <w:rsid w:val="001704F9"/>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Davis</dc:creator>
  <cp:keywords/>
  <dc:description/>
  <cp:lastModifiedBy>Julie Kincaid</cp:lastModifiedBy>
  <cp:revision>2</cp:revision>
  <dcterms:created xsi:type="dcterms:W3CDTF">2023-08-11T14:12:00Z</dcterms:created>
  <dcterms:modified xsi:type="dcterms:W3CDTF">2023-08-11T14:12:00Z</dcterms:modified>
</cp:coreProperties>
</file>